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line="360" w:lineRule="auto"/>
        <w:jc w:val="center"/>
        <w:rPr>
          <w:rFonts w:ascii="Arial" w:cs="Arial" w:hAnsi="Arial" w:eastAsia="Arial"/>
          <w:b w:val="1"/>
          <w:bCs w:val="1"/>
          <w:sz w:val="28"/>
          <w:szCs w:val="28"/>
        </w:rPr>
      </w:pPr>
      <w:r>
        <w:drawing xmlns:a="http://schemas.openxmlformats.org/drawingml/2006/main">
          <wp:anchor distT="0" distB="0" distL="0" distR="0" simplePos="0" relativeHeight="251657216" behindDoc="1" locked="0" layoutInCell="1" allowOverlap="1">
            <wp:simplePos x="0" y="0"/>
            <wp:positionH relativeFrom="column">
              <wp:posOffset>0</wp:posOffset>
            </wp:positionH>
            <wp:positionV relativeFrom="line">
              <wp:posOffset>0</wp:posOffset>
            </wp:positionV>
            <wp:extent cx="1005840" cy="680140"/>
            <wp:effectExtent l="0" t="0" r="0" b="0"/>
            <wp:wrapNone/>
            <wp:docPr id="1073741825" name="officeArt object" descr="Vancouver Writers Fest logo. Displays the words &quot;Vancouver Writers Fest&quot; in black, uppercase block letters on three separate lines. There are three horizontal lines, one in the top right corner and two in the bottom left corner, representing the spines of books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Vancouver Writers Fest logo. Displays the words &quot;Vancouver Writers Fest&quot; in black, uppercase block letters on three separate lines. There are three horizontal lines, one in the top right corner and two in the bottom left corner, representing the spines o" descr="Vancouver Writers Fest logo. Displays the words &quot;Vancouver Writers Fest&quot; in black, uppercase block letters on three separate lines. There are three horizontal lines, one in the top right corner and two in the bottom left corner, representing the spines of books.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6801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The Improv Centre</w:t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: Accessibility Overview</w:t>
      </w:r>
    </w:p>
    <w:p>
      <w:pPr>
        <w:pStyle w:val="Body"/>
        <w:spacing w:line="360" w:lineRule="auto"/>
        <w:jc w:val="center"/>
        <w:rPr>
          <w:rFonts w:ascii="Arial" w:cs="Arial" w:hAnsi="Arial" w:eastAsia="Arial"/>
        </w:rPr>
      </w:pPr>
      <w:r>
        <w:rPr>
          <w:rFonts w:ascii="Arial" w:hAnsi="Arial"/>
          <w:sz w:val="28"/>
          <w:szCs w:val="28"/>
          <w:rtl w:val="0"/>
          <w:lang w:val="en-US"/>
        </w:rPr>
        <w:t>1</w:t>
      </w:r>
      <w:r>
        <w:rPr>
          <w:rFonts w:ascii="Arial" w:hAnsi="Arial"/>
          <w:sz w:val="28"/>
          <w:szCs w:val="28"/>
          <w:rtl w:val="0"/>
          <w:lang w:val="en-US"/>
        </w:rPr>
        <w:t>502 Duranleau St.</w:t>
      </w:r>
      <w:r>
        <w:rPr>
          <w:rFonts w:ascii="Arial" w:hAnsi="Arial"/>
          <w:sz w:val="28"/>
          <w:szCs w:val="28"/>
          <w:rtl w:val="0"/>
          <w:lang w:val="en-US"/>
        </w:rPr>
        <w:t xml:space="preserve">, Vancouver, BC V6H </w:t>
      </w:r>
      <w:r>
        <w:rPr>
          <w:rFonts w:ascii="Arial" w:hAnsi="Arial"/>
          <w:sz w:val="28"/>
          <w:szCs w:val="28"/>
          <w:rtl w:val="0"/>
          <w:lang w:val="en-US"/>
        </w:rPr>
        <w:t>3S4</w:t>
      </w:r>
    </w:p>
    <w:p>
      <w:pPr>
        <w:pStyle w:val="Body"/>
        <w:spacing w:line="360" w:lineRule="auto"/>
        <w:rPr>
          <w:rFonts w:ascii="Arial" w:cs="Arial" w:hAnsi="Arial" w:eastAsia="Arial"/>
        </w:rPr>
      </w:pP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Signage</w:t>
      </w:r>
    </w:p>
    <w:p>
      <w:pPr>
        <w:pStyle w:val="List Paragraph"/>
        <w:numPr>
          <w:ilvl w:val="0"/>
          <w:numId w:val="2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Visible at front entrance</w:t>
      </w:r>
    </w:p>
    <w:p>
      <w:pPr>
        <w:pStyle w:val="List Paragraph"/>
        <w:numPr>
          <w:ilvl w:val="0"/>
          <w:numId w:val="2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No braille</w:t>
      </w: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  <w:lang w:val="en-US"/>
        </w:rPr>
      </w:pP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Parking and transit</w:t>
      </w:r>
    </w:p>
    <w:p>
      <w:pPr>
        <w:pStyle w:val="List Paragraph"/>
        <w:numPr>
          <w:ilvl w:val="0"/>
          <w:numId w:val="4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Limited pay parking directly outside the venue</w:t>
      </w:r>
    </w:p>
    <w:p>
      <w:pPr>
        <w:pStyle w:val="List Paragraph"/>
        <w:numPr>
          <w:ilvl w:val="0"/>
          <w:numId w:val="4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Additional pay parking </w:t>
      </w:r>
      <w:r>
        <w:rPr>
          <w:rFonts w:ascii="Arial" w:hAnsi="Arial"/>
          <w:sz w:val="28"/>
          <w:szCs w:val="28"/>
          <w:rtl w:val="0"/>
          <w:lang w:val="en-US"/>
        </w:rPr>
        <w:t>along Duranleau St.</w:t>
      </w:r>
    </w:p>
    <w:p>
      <w:pPr>
        <w:pStyle w:val="List Paragraph"/>
        <w:numPr>
          <w:ilvl w:val="0"/>
          <w:numId w:val="4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Parking spaces on level ground</w:t>
      </w:r>
    </w:p>
    <w:p>
      <w:pPr>
        <w:pStyle w:val="List Paragraph"/>
        <w:numPr>
          <w:ilvl w:val="0"/>
          <w:numId w:val="4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Bus #50 stops 200m from entrance</w:t>
      </w: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  <w:lang w:val="en-US"/>
        </w:rPr>
      </w:pP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 xml:space="preserve">Exterior </w:t>
      </w:r>
    </w:p>
    <w:p>
      <w:pPr>
        <w:pStyle w:val="List Paragraph"/>
        <w:numPr>
          <w:ilvl w:val="0"/>
          <w:numId w:val="6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Main entrance is wheelchair, walker, and mobility scooter accessible</w:t>
      </w:r>
    </w:p>
    <w:p>
      <w:pPr>
        <w:pStyle w:val="List Paragraph"/>
        <w:numPr>
          <w:ilvl w:val="0"/>
          <w:numId w:val="6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Ground is flat</w:t>
      </w:r>
    </w:p>
    <w:p>
      <w:pPr>
        <w:pStyle w:val="Body"/>
        <w:spacing w:line="360" w:lineRule="auto"/>
        <w:rPr>
          <w:rFonts w:ascii="Arial" w:cs="Arial" w:hAnsi="Arial" w:eastAsia="Arial"/>
          <w:sz w:val="28"/>
          <w:szCs w:val="28"/>
          <w:lang w:val="en-US"/>
        </w:rPr>
      </w:pP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 xml:space="preserve">Interior </w:t>
      </w:r>
    </w:p>
    <w:p>
      <w:pPr>
        <w:pStyle w:val="List Paragraph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Accessible entrance door is </w:t>
      </w:r>
      <w:r>
        <w:rPr>
          <w:rFonts w:ascii="Arial" w:hAnsi="Arial"/>
          <w:sz w:val="28"/>
          <w:szCs w:val="28"/>
          <w:rtl w:val="0"/>
          <w:lang w:val="en-US"/>
        </w:rPr>
        <w:t>&gt;</w:t>
      </w:r>
      <w:r>
        <w:rPr>
          <w:rFonts w:ascii="Arial" w:hAnsi="Arial"/>
          <w:sz w:val="28"/>
          <w:szCs w:val="28"/>
          <w:rtl w:val="0"/>
          <w:lang w:val="en-US"/>
        </w:rPr>
        <w:t>3</w:t>
      </w:r>
      <w:r>
        <w:rPr>
          <w:rFonts w:ascii="Arial" w:hAnsi="Arial"/>
          <w:sz w:val="28"/>
          <w:szCs w:val="28"/>
          <w:rtl w:val="0"/>
          <w:lang w:val="en-US"/>
        </w:rPr>
        <w:t>5</w:t>
      </w:r>
      <w:r>
        <w:rPr>
          <w:rFonts w:ascii="Arial" w:hAnsi="Arial" w:hint="default"/>
          <w:sz w:val="28"/>
          <w:szCs w:val="28"/>
          <w:rtl w:val="0"/>
          <w:lang w:val="en-US"/>
        </w:rPr>
        <w:t xml:space="preserve">” </w:t>
      </w:r>
      <w:r>
        <w:rPr>
          <w:rFonts w:ascii="Arial" w:hAnsi="Arial"/>
          <w:sz w:val="28"/>
          <w:szCs w:val="28"/>
          <w:rtl w:val="0"/>
          <w:lang w:val="en-US"/>
        </w:rPr>
        <w:t>wide and threshold is flush with floor; door has automatic button</w:t>
      </w:r>
    </w:p>
    <w:p>
      <w:pPr>
        <w:pStyle w:val="Body"/>
        <w:spacing w:line="360" w:lineRule="auto"/>
        <w:rPr>
          <w:rFonts w:ascii="Arial" w:cs="Arial" w:hAnsi="Arial" w:eastAsia="Arial"/>
        </w:rPr>
      </w:pP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Lighting</w:t>
      </w:r>
    </w:p>
    <w:p>
      <w:pPr>
        <w:pStyle w:val="List Paragraph"/>
        <w:numPr>
          <w:ilvl w:val="0"/>
          <w:numId w:val="10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Fluorescent, incandescent, and halogen lighting</w:t>
      </w:r>
    </w:p>
    <w:p>
      <w:pPr>
        <w:pStyle w:val="List Paragraph"/>
        <w:numPr>
          <w:ilvl w:val="0"/>
          <w:numId w:val="10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Strobe lights not used during festival</w:t>
      </w:r>
    </w:p>
    <w:p>
      <w:pPr>
        <w:pStyle w:val="Body"/>
        <w:spacing w:line="360" w:lineRule="auto"/>
        <w:rPr>
          <w:rFonts w:ascii="Arial" w:cs="Arial" w:hAnsi="Arial" w:eastAsia="Arial"/>
        </w:rPr>
      </w:pP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Stage/backstage</w:t>
      </w:r>
    </w:p>
    <w:p>
      <w:pPr>
        <w:pStyle w:val="List Paragraph"/>
        <w:numPr>
          <w:ilvl w:val="0"/>
          <w:numId w:val="12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Author lounge is accessed via a series of non-automated doors, or via an alternate route (please speak with the box office in advance at </w:t>
      </w:r>
      <w:r>
        <w:rPr>
          <w:rStyle w:val="Hyperlink.0"/>
          <w:rFonts w:ascii="Arial" w:cs="Arial" w:hAnsi="Arial" w:eastAsia="Arial"/>
          <w:sz w:val="28"/>
          <w:szCs w:val="28"/>
          <w:lang w:val="en-US"/>
        </w:rPr>
        <w:fldChar w:fldCharType="begin" w:fldLock="0"/>
      </w:r>
      <w:r>
        <w:rPr>
          <w:rStyle w:val="Hyperlink.0"/>
          <w:rFonts w:ascii="Arial" w:cs="Arial" w:hAnsi="Arial" w:eastAsia="Arial"/>
          <w:sz w:val="28"/>
          <w:szCs w:val="28"/>
          <w:lang w:val="en-US"/>
        </w:rPr>
        <w:instrText xml:space="preserve"> HYPERLINK "mailto:boxoffice@writersfest.bc.ca"</w:instrText>
      </w:r>
      <w:r>
        <w:rPr>
          <w:rStyle w:val="Hyperlink.0"/>
          <w:rFonts w:ascii="Arial" w:cs="Arial" w:hAnsi="Arial" w:eastAsia="Arial"/>
          <w:sz w:val="28"/>
          <w:szCs w:val="28"/>
          <w:lang w:val="en-US"/>
        </w:rPr>
        <w:fldChar w:fldCharType="separate" w:fldLock="0"/>
      </w:r>
      <w:r>
        <w:rPr>
          <w:rStyle w:val="Hyperlink.0"/>
          <w:rFonts w:ascii="Arial" w:hAnsi="Arial"/>
          <w:sz w:val="28"/>
          <w:szCs w:val="28"/>
          <w:rtl w:val="0"/>
          <w:lang w:val="en-US"/>
        </w:rPr>
        <w:t>boxoffice@writersfest.bc.ca</w:t>
      </w:r>
      <w:r>
        <w:rPr>
          <w:rFonts w:ascii="Arial" w:cs="Arial" w:hAnsi="Arial" w:eastAsia="Arial"/>
          <w:sz w:val="28"/>
          <w:szCs w:val="28"/>
          <w:lang w:val="en-US"/>
        </w:rPr>
        <w:fldChar w:fldCharType="end" w:fldLock="0"/>
      </w:r>
      <w:r>
        <w:rPr>
          <w:rFonts w:ascii="Arial" w:hAnsi="Arial"/>
          <w:sz w:val="28"/>
          <w:szCs w:val="28"/>
          <w:rtl w:val="0"/>
          <w:lang w:val="en-US"/>
        </w:rPr>
        <w:t xml:space="preserve">). </w:t>
      </w: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  <w:lang w:val="en-US"/>
        </w:rPr>
      </w:pPr>
    </w:p>
    <w:p>
      <w:pPr>
        <w:pStyle w:val="Body"/>
        <w:spacing w:line="360" w:lineRule="auto"/>
        <w:rPr>
          <w:rFonts w:ascii="Arial" w:cs="Arial" w:hAnsi="Arial" w:eastAsia="Arial"/>
        </w:rPr>
      </w:pP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Seating</w:t>
      </w:r>
    </w:p>
    <w:p>
      <w:pPr>
        <w:pStyle w:val="List Paragraph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Floor seating is wheelchair and mobility device accessible</w:t>
      </w:r>
    </w:p>
    <w:p>
      <w:pPr>
        <w:pStyle w:val="List Paragraph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Bleacher seats are 20</w:t>
      </w:r>
      <w:r>
        <w:rPr>
          <w:rFonts w:ascii="Arial" w:hAnsi="Arial" w:hint="default"/>
          <w:sz w:val="28"/>
          <w:szCs w:val="28"/>
          <w:rtl w:val="0"/>
          <w:lang w:val="en-US"/>
        </w:rPr>
        <w:t xml:space="preserve">” </w:t>
      </w:r>
      <w:r>
        <w:rPr>
          <w:rFonts w:ascii="Arial" w:hAnsi="Arial"/>
          <w:sz w:val="28"/>
          <w:szCs w:val="28"/>
          <w:rtl w:val="0"/>
          <w:lang w:val="en-US"/>
        </w:rPr>
        <w:t>wide and have cup-holders</w:t>
      </w: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  <w:lang w:val="en-US"/>
        </w:rPr>
      </w:pP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Bathrooms</w:t>
      </w:r>
    </w:p>
    <w:p>
      <w:pPr>
        <w:pStyle w:val="List Paragraph"/>
        <w:numPr>
          <w:ilvl w:val="0"/>
          <w:numId w:val="14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The main hallway features two gendered washrooms and one gender-neutral stall, which is private, automated, and wheelchair accessible</w:t>
      </w:r>
    </w:p>
    <w:p>
      <w:pPr>
        <w:pStyle w:val="Body"/>
        <w:rPr>
          <w:rFonts w:ascii="Arial" w:cs="Arial" w:hAnsi="Arial" w:eastAsia="Arial"/>
          <w:lang w:val="en-US"/>
        </w:rPr>
      </w:pP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Assistive listening arrangements</w:t>
      </w:r>
    </w:p>
    <w:p>
      <w:pPr>
        <w:pStyle w:val="List Paragraph"/>
        <w:numPr>
          <w:ilvl w:val="0"/>
          <w:numId w:val="14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N/A</w:t>
      </w: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  <w:lang w:val="en-US"/>
        </w:rPr>
      </w:pP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Guide dogs</w:t>
      </w:r>
    </w:p>
    <w:p>
      <w:pPr>
        <w:pStyle w:val="List Paragraph"/>
        <w:numPr>
          <w:ilvl w:val="0"/>
          <w:numId w:val="16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Room for </w:t>
      </w:r>
      <w:r>
        <w:rPr>
          <w:rFonts w:ascii="Arial" w:hAnsi="Arial"/>
          <w:sz w:val="28"/>
          <w:szCs w:val="28"/>
          <w:rtl w:val="0"/>
          <w:lang w:val="en-US"/>
        </w:rPr>
        <w:t>service dogs at seat</w:t>
      </w:r>
    </w:p>
    <w:p>
      <w:pPr>
        <w:pStyle w:val="List Paragraph"/>
        <w:numPr>
          <w:ilvl w:val="0"/>
          <w:numId w:val="16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Rest/toilet area for guide dogs outside of venue (not designated)</w:t>
      </w:r>
    </w:p>
    <w:p>
      <w:pPr>
        <w:pStyle w:val="Body"/>
        <w:spacing w:line="360" w:lineRule="auto"/>
        <w:rPr>
          <w:rFonts w:ascii="Arial" w:cs="Arial" w:hAnsi="Arial" w:eastAsia="Arial"/>
          <w:caps w:val="0"/>
          <w:smallCaps w:val="0"/>
          <w:strike w:val="0"/>
          <w:dstrike w:val="0"/>
          <w:sz w:val="28"/>
          <w:szCs w:val="28"/>
          <w:lang w:val="en-US"/>
        </w:rPr>
      </w:pPr>
    </w:p>
    <w:p>
      <w:pPr>
        <w:pStyle w:val="Body"/>
        <w:spacing w:line="360" w:lineRule="auto"/>
      </w:pP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"https://radicalaccessiblecommunities.wordpress.com/the-radical-access-mapping-project/radical-access-mapping-project-vancouver/"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Link to Radical Access Mapping Project</w:t>
      </w:r>
      <w:r>
        <w:rPr>
          <w:rStyle w:val="Hyperlink.1"/>
          <w:rtl w:val="0"/>
          <w:lang w:val="en-US"/>
        </w:rPr>
        <w:t>’</w:t>
      </w:r>
      <w:r>
        <w:rPr>
          <w:rStyle w:val="Hyperlink.1"/>
          <w:rtl w:val="0"/>
          <w:lang w:val="en-US"/>
        </w:rPr>
        <w:t>s audit templates</w:t>
      </w:r>
      <w:r>
        <w:rPr/>
        <w:fldChar w:fldCharType="end" w:fldLock="0"/>
      </w:r>
    </w:p>
    <w:sectPr>
      <w:headerReference w:type="default" r:id="rId5"/>
      <w:footerReference w:type="default" r:id="rId6"/>
      <w:pgSz w:w="12240" w:h="15840" w:orient="portrait"/>
      <w:pgMar w:top="720" w:right="1440" w:bottom="72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3"/>
  </w:abstractNum>
  <w:abstractNum w:abstractNumId="3">
    <w:multiLevelType w:val="hybridMultilevel"/>
    <w:styleLink w:val="Imported Style 3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2"/>
  </w:abstractNum>
  <w:abstractNum w:abstractNumId="5">
    <w:multiLevelType w:val="hybridMultilevel"/>
    <w:styleLink w:val="Imported Style 2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ed Style 5"/>
  </w:abstractNum>
  <w:abstractNum w:abstractNumId="9">
    <w:multiLevelType w:val="hybridMultilevel"/>
    <w:styleLink w:val="Imported Style 5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Imported Style 6"/>
  </w:abstractNum>
  <w:abstractNum w:abstractNumId="11">
    <w:multiLevelType w:val="hybridMultilevel"/>
    <w:styleLink w:val="Imported Style 6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Imported Style 8"/>
  </w:abstractNum>
  <w:abstractNum w:abstractNumId="13">
    <w:multiLevelType w:val="hybridMultilevel"/>
    <w:styleLink w:val="Imported Style 8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Imported Style 9"/>
  </w:abstractNum>
  <w:abstractNum w:abstractNumId="15">
    <w:multiLevelType w:val="hybridMultilevel"/>
    <w:styleLink w:val="Imported Style 9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  <w:num w:numId="13">
    <w:abstractNumId w:val="13"/>
  </w:num>
  <w:num w:numId="14">
    <w:abstractNumId w:val="12"/>
  </w:num>
  <w:num w:numId="15">
    <w:abstractNumId w:val="1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trackRevisions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3">
    <w:name w:val="Imported Style 3"/>
    <w:pPr>
      <w:numPr>
        <w:numId w:val="3"/>
      </w:numPr>
    </w:pPr>
  </w:style>
  <w:style w:type="numbering" w:styleId="Imported Style 2">
    <w:name w:val="Imported Style 2"/>
    <w:pPr>
      <w:numPr>
        <w:numId w:val="5"/>
      </w:numPr>
    </w:pPr>
  </w:style>
  <w:style w:type="numbering" w:styleId="Imported Style 4">
    <w:name w:val="Imported Style 4"/>
    <w:pPr>
      <w:numPr>
        <w:numId w:val="7"/>
      </w:numPr>
    </w:pPr>
  </w:style>
  <w:style w:type="numbering" w:styleId="Imported Style 5">
    <w:name w:val="Imported Style 5"/>
    <w:pPr>
      <w:numPr>
        <w:numId w:val="9"/>
      </w:numPr>
    </w:pPr>
  </w:style>
  <w:style w:type="numbering" w:styleId="Imported Style 6">
    <w:name w:val="Imported Style 6"/>
    <w:pPr>
      <w:numPr>
        <w:numId w:val="11"/>
      </w:numPr>
    </w:pPr>
  </w:style>
  <w:style w:type="character" w:styleId="Hyperlink.0">
    <w:name w:val="Hyperlink.0"/>
    <w:basedOn w:val="Hyperlink"/>
    <w:next w:val="Hyperlink.0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numbering" w:styleId="Imported Style 8">
    <w:name w:val="Imported Style 8"/>
    <w:pPr>
      <w:numPr>
        <w:numId w:val="13"/>
      </w:numPr>
    </w:pPr>
  </w:style>
  <w:style w:type="numbering" w:styleId="Imported Style 9">
    <w:name w:val="Imported Style 9"/>
    <w:pPr>
      <w:numPr>
        <w:numId w:val="15"/>
      </w:numPr>
    </w:pPr>
  </w:style>
  <w:style w:type="character" w:styleId="Hyperlink.1">
    <w:name w:val="Hyperlink.1"/>
    <w:basedOn w:val="Hyperlink.0"/>
    <w:next w:val="Hyperlink.1"/>
    <w:rPr>
      <w:rFonts w:ascii="Arial" w:cs="Arial" w:hAnsi="Arial" w:eastAsia="Arial"/>
      <w:caps w:val="0"/>
      <w:smallCaps w:val="0"/>
      <w:strike w:val="0"/>
      <w:dstrike w:val="0"/>
      <w:sz w:val="28"/>
      <w:szCs w:val="28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